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3C9121C9" w14:textId="6FB55600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D72358">
        <w:rPr>
          <w:rFonts w:ascii="Times New Roman" w:hAnsi="Times New Roman" w:cs="Times New Roman"/>
          <w:b/>
          <w:sz w:val="32"/>
          <w:szCs w:val="32"/>
        </w:rPr>
        <w:t>П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>редмет</w:t>
      </w:r>
      <w:r w:rsidR="00D72358">
        <w:rPr>
          <w:rFonts w:ascii="Times New Roman" w:hAnsi="Times New Roman" w:cs="Times New Roman"/>
          <w:b/>
          <w:sz w:val="32"/>
          <w:szCs w:val="32"/>
        </w:rPr>
        <w:t>ов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 xml:space="preserve"> одежды, принадлежност</w:t>
      </w:r>
      <w:r w:rsidR="00D72358">
        <w:rPr>
          <w:rFonts w:ascii="Times New Roman" w:hAnsi="Times New Roman" w:cs="Times New Roman"/>
          <w:b/>
          <w:sz w:val="32"/>
          <w:szCs w:val="32"/>
        </w:rPr>
        <w:t>ей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 xml:space="preserve"> к одежде и прочи</w:t>
      </w:r>
      <w:r w:rsidR="00D72358">
        <w:rPr>
          <w:rFonts w:ascii="Times New Roman" w:hAnsi="Times New Roman" w:cs="Times New Roman"/>
          <w:b/>
          <w:sz w:val="32"/>
          <w:szCs w:val="32"/>
        </w:rPr>
        <w:t>х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 xml:space="preserve"> издели</w:t>
      </w:r>
      <w:r w:rsidR="00D72358">
        <w:rPr>
          <w:rFonts w:ascii="Times New Roman" w:hAnsi="Times New Roman" w:cs="Times New Roman"/>
          <w:b/>
          <w:sz w:val="32"/>
          <w:szCs w:val="32"/>
        </w:rPr>
        <w:t>й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 xml:space="preserve"> из натурального меха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A47733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523C7" w14:textId="02684D52" w:rsidR="00AD5A20" w:rsidRPr="008D6F6E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0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</w:t>
      </w:r>
      <w:r w:rsidR="00010B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72358">
        <w:rPr>
          <w:rFonts w:ascii="Times New Roman" w:hAnsi="Times New Roman" w:cs="Times New Roman"/>
          <w:b/>
          <w:sz w:val="28"/>
          <w:szCs w:val="28"/>
        </w:rPr>
        <w:t>п</w:t>
      </w:r>
      <w:r w:rsidR="00D72358" w:rsidRPr="00D72358">
        <w:rPr>
          <w:rFonts w:ascii="Times New Roman" w:hAnsi="Times New Roman" w:cs="Times New Roman"/>
          <w:b/>
          <w:sz w:val="28"/>
          <w:szCs w:val="28"/>
        </w:rPr>
        <w:t>редметы одежды, принадлежности к одежде и прочие изделия из натурального меха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614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</w:t>
      </w:r>
      <w:r w:rsidR="006110E5" w:rsidRPr="00611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ТН ВЭД ЕАЭС </w:t>
      </w:r>
      <w:r w:rsidR="00D72358" w:rsidRPr="00D72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4303 10 901 0, 4303 10 902 0, 4303 10 903 0, 4303 10 904 0, 4303 10 905 0, 4303 10 906 0, 4303 10 908 0</w:t>
      </w:r>
      <w:r w:rsidR="00614F30" w:rsidRPr="00614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7B6D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577F5D91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D72358">
        <w:rPr>
          <w:rFonts w:ascii="Times New Roman" w:hAnsi="Times New Roman" w:cs="Times New Roman"/>
          <w:b/>
          <w:sz w:val="32"/>
          <w:szCs w:val="32"/>
        </w:rPr>
        <w:t>п</w:t>
      </w:r>
      <w:r w:rsidR="00D72358" w:rsidRPr="00D72358">
        <w:rPr>
          <w:rFonts w:ascii="Times New Roman" w:hAnsi="Times New Roman" w:cs="Times New Roman"/>
          <w:b/>
          <w:sz w:val="32"/>
          <w:szCs w:val="32"/>
        </w:rPr>
        <w:t>редметов одежды, принадлежностей к одежде и прочих изделий из натурального меха</w:t>
      </w:r>
      <w:r w:rsidR="00EF2690" w:rsidRPr="004F7D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C05422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C05422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E927A75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0D65C" w14:textId="305FFEFF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1C833" w14:textId="4A2F86F9" w:rsidR="00010B25" w:rsidRDefault="00010B25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9EACE" w14:textId="4091AD57" w:rsidR="00BC297D" w:rsidRDefault="00BC297D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B3A78A" w14:textId="1A2F372C" w:rsidR="00BC297D" w:rsidRDefault="00BC297D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444E4" w14:textId="41B39141" w:rsidR="00BC297D" w:rsidRDefault="00BC297D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84DD2" w14:textId="252E37A6" w:rsidR="00BC297D" w:rsidRDefault="00BC297D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2" w:name="_1._Стать_зарегистрированным"/>
      <w:bookmarkStart w:id="3" w:name="_1._Чтобы_стать"/>
      <w:bookmarkEnd w:id="2"/>
      <w:bookmarkEnd w:id="3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3631E4F3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6F537A49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6F62821F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</w:t>
      </w:r>
      <w:r w:rsidR="00246FA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history="1">
        <w:r w:rsidRPr="00246FAD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246FAD">
          <w:rPr>
            <w:rStyle w:val="a3"/>
            <w:rFonts w:ascii="Times New Roman" w:hAnsi="Times New Roman" w:cs="Times New Roman"/>
            <w:sz w:val="28"/>
            <w:szCs w:val="28"/>
          </w:rPr>
          <w:t>сылке</w:t>
        </w:r>
      </w:hyperlink>
      <w:r w:rsidRPr="00BA5A5D">
        <w:rPr>
          <w:rFonts w:ascii="Times New Roman" w:hAnsi="Times New Roman" w:cs="Times New Roman"/>
          <w:sz w:val="28"/>
          <w:szCs w:val="28"/>
        </w:rPr>
        <w:t xml:space="preserve"> 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4" w:name="_2._Создать_электронные"/>
      <w:bookmarkStart w:id="5" w:name="_2._По_ранее"/>
      <w:bookmarkStart w:id="6" w:name="_3._Актуализировать_имеющиеся"/>
      <w:bookmarkStart w:id="7" w:name="_4._Обратиться_к"/>
      <w:bookmarkEnd w:id="4"/>
      <w:bookmarkEnd w:id="5"/>
      <w:bookmarkEnd w:id="6"/>
      <w:bookmarkEnd w:id="7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3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22C84BE6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="00B826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support_epass@ids.by.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8" w:name="_3._Для_создания"/>
      <w:bookmarkEnd w:id="8"/>
      <w:r w:rsidRPr="00BA5A5D">
        <w:rPr>
          <w:rStyle w:val="10"/>
          <w:b/>
        </w:rPr>
        <w:lastRenderedPageBreak/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4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35CD441B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F920F1" w:rsidRPr="00F92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ZOF030-Fur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2B4B1740" w:rsidR="00CC4BBA" w:rsidRPr="00BE5C64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F920F1" w:rsidRPr="00F92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F92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F920F1" w:rsidRPr="00F92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0-Fur</w:t>
      </w:r>
      <w:r w:rsidRPr="00BE5C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.xls.</w:t>
      </w:r>
    </w:p>
    <w:p w14:paraId="6E860551" w14:textId="77777777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BE5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45C80BC6" w:rsidR="00CC4BBA" w:rsidRPr="00BE5C64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F920F1" w:rsidRPr="00F9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ZOF030-Fur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5" w:history="1"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BE5C6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501D416D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F920F1" w:rsidRPr="00F9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F9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920F1" w:rsidRPr="00F9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0-Fur</w:t>
      </w:r>
      <w:r w:rsidRPr="00BE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 на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электронную почту </w:t>
      </w:r>
      <w:hyperlink r:id="rId16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88DBBE" w14:textId="1BEA7AA5" w:rsidR="00F920F1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ВАЖНО: </w:t>
      </w:r>
      <w:r w:rsidR="00F920F1">
        <w:rPr>
          <w:rFonts w:ascii="Times New Roman" w:hAnsi="Times New Roman" w:cs="Times New Roman"/>
          <w:i/>
          <w:sz w:val="28"/>
          <w:szCs w:val="28"/>
        </w:rPr>
        <w:t>Изображения товаров более не обязательны</w:t>
      </w:r>
      <w:r w:rsidR="003C066D">
        <w:rPr>
          <w:rFonts w:ascii="Times New Roman" w:hAnsi="Times New Roman" w:cs="Times New Roman"/>
          <w:i/>
          <w:sz w:val="28"/>
          <w:szCs w:val="28"/>
        </w:rPr>
        <w:t>.</w:t>
      </w:r>
    </w:p>
    <w:p w14:paraId="6C72E902" w14:textId="34C88C22" w:rsidR="00053275" w:rsidRDefault="003C066D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желаете добавить изображения, то </w:t>
      </w:r>
      <w:r w:rsidR="00053275">
        <w:rPr>
          <w:rFonts w:ascii="Times New Roman" w:hAnsi="Times New Roman" w:cs="Times New Roman"/>
          <w:i/>
          <w:sz w:val="28"/>
          <w:szCs w:val="28"/>
        </w:rPr>
        <w:t>и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 w:rsidR="00053275"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 w:rsidR="00053275">
        <w:rPr>
          <w:rFonts w:ascii="Times New Roman" w:hAnsi="Times New Roman" w:cs="Times New Roman"/>
          <w:i/>
          <w:sz w:val="28"/>
          <w:szCs w:val="28"/>
        </w:rPr>
        <w:t>, п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053275"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7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73FC4762" w14:textId="77777777" w:rsidR="00844C69" w:rsidRDefault="00844C69" w:rsidP="000A21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6FC021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35171E27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52EC972F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5448D3A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EC516A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CFBF545" w14:textId="77777777" w:rsidR="00264A16" w:rsidRDefault="00264A16" w:rsidP="00264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0C354B7F" w14:textId="2E1297CC" w:rsidR="00C24AF3" w:rsidRPr="00C24AF3" w:rsidRDefault="00264A16" w:rsidP="00F45A3D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F44F0" w14:textId="77777777" w:rsidR="00C05422" w:rsidRDefault="00C05422" w:rsidP="0003610F">
      <w:pPr>
        <w:spacing w:after="0" w:line="240" w:lineRule="auto"/>
      </w:pPr>
      <w:r>
        <w:separator/>
      </w:r>
    </w:p>
  </w:endnote>
  <w:endnote w:type="continuationSeparator" w:id="0">
    <w:p w14:paraId="1C83B514" w14:textId="77777777" w:rsidR="00C05422" w:rsidRDefault="00C05422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82589" w14:textId="77777777" w:rsidR="00C05422" w:rsidRDefault="00C05422" w:rsidP="0003610F">
      <w:pPr>
        <w:spacing w:after="0" w:line="240" w:lineRule="auto"/>
      </w:pPr>
      <w:r>
        <w:separator/>
      </w:r>
    </w:p>
  </w:footnote>
  <w:footnote w:type="continuationSeparator" w:id="0">
    <w:p w14:paraId="42128D11" w14:textId="77777777" w:rsidR="00C05422" w:rsidRDefault="00C05422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10B25"/>
    <w:rsid w:val="00021F7F"/>
    <w:rsid w:val="000342D1"/>
    <w:rsid w:val="0003610F"/>
    <w:rsid w:val="00045792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62675"/>
    <w:rsid w:val="00173F76"/>
    <w:rsid w:val="001927F0"/>
    <w:rsid w:val="001C2E4F"/>
    <w:rsid w:val="001C67F4"/>
    <w:rsid w:val="001D40B6"/>
    <w:rsid w:val="001E2F20"/>
    <w:rsid w:val="001E602E"/>
    <w:rsid w:val="00210F68"/>
    <w:rsid w:val="00235EF6"/>
    <w:rsid w:val="00246FAD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66D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310F7"/>
    <w:rsid w:val="00487D97"/>
    <w:rsid w:val="00492947"/>
    <w:rsid w:val="004A047B"/>
    <w:rsid w:val="004A2438"/>
    <w:rsid w:val="004A4806"/>
    <w:rsid w:val="004A5700"/>
    <w:rsid w:val="004D131A"/>
    <w:rsid w:val="004D5752"/>
    <w:rsid w:val="004D5D0F"/>
    <w:rsid w:val="004E4583"/>
    <w:rsid w:val="004F7DA7"/>
    <w:rsid w:val="004F7F82"/>
    <w:rsid w:val="00500B94"/>
    <w:rsid w:val="005066C5"/>
    <w:rsid w:val="00522FE3"/>
    <w:rsid w:val="00526853"/>
    <w:rsid w:val="00540BD5"/>
    <w:rsid w:val="00550498"/>
    <w:rsid w:val="00560A4D"/>
    <w:rsid w:val="005629C6"/>
    <w:rsid w:val="005748AC"/>
    <w:rsid w:val="00581290"/>
    <w:rsid w:val="005A07A6"/>
    <w:rsid w:val="005B0588"/>
    <w:rsid w:val="005B3943"/>
    <w:rsid w:val="005C714E"/>
    <w:rsid w:val="005D6922"/>
    <w:rsid w:val="005E58E6"/>
    <w:rsid w:val="005F0E1C"/>
    <w:rsid w:val="005F2EF8"/>
    <w:rsid w:val="005F7471"/>
    <w:rsid w:val="006046B4"/>
    <w:rsid w:val="006110E5"/>
    <w:rsid w:val="0061372F"/>
    <w:rsid w:val="00614F30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B03BD"/>
    <w:rsid w:val="006D33A3"/>
    <w:rsid w:val="006F2E5E"/>
    <w:rsid w:val="007067C3"/>
    <w:rsid w:val="00713054"/>
    <w:rsid w:val="00732ED8"/>
    <w:rsid w:val="007461E1"/>
    <w:rsid w:val="00763D57"/>
    <w:rsid w:val="00767906"/>
    <w:rsid w:val="007920FF"/>
    <w:rsid w:val="007B1C11"/>
    <w:rsid w:val="007B2DEB"/>
    <w:rsid w:val="007B6548"/>
    <w:rsid w:val="007B6D24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D6F6E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4C14"/>
    <w:rsid w:val="009F680C"/>
    <w:rsid w:val="00A017AF"/>
    <w:rsid w:val="00A03C96"/>
    <w:rsid w:val="00A1313A"/>
    <w:rsid w:val="00A26B86"/>
    <w:rsid w:val="00A276CE"/>
    <w:rsid w:val="00A338E4"/>
    <w:rsid w:val="00A47733"/>
    <w:rsid w:val="00A5117A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4958"/>
    <w:rsid w:val="00B37799"/>
    <w:rsid w:val="00B37ECF"/>
    <w:rsid w:val="00B47206"/>
    <w:rsid w:val="00B51E31"/>
    <w:rsid w:val="00B579E5"/>
    <w:rsid w:val="00B72D68"/>
    <w:rsid w:val="00B7589A"/>
    <w:rsid w:val="00B75B6E"/>
    <w:rsid w:val="00B826B0"/>
    <w:rsid w:val="00B900B1"/>
    <w:rsid w:val="00B94BF3"/>
    <w:rsid w:val="00BA0782"/>
    <w:rsid w:val="00BA2487"/>
    <w:rsid w:val="00BB1FAA"/>
    <w:rsid w:val="00BB6888"/>
    <w:rsid w:val="00BC0257"/>
    <w:rsid w:val="00BC03E0"/>
    <w:rsid w:val="00BC297D"/>
    <w:rsid w:val="00BC3729"/>
    <w:rsid w:val="00BC4F2F"/>
    <w:rsid w:val="00BC74B7"/>
    <w:rsid w:val="00BD23AA"/>
    <w:rsid w:val="00BE5C64"/>
    <w:rsid w:val="00C012F3"/>
    <w:rsid w:val="00C017EA"/>
    <w:rsid w:val="00C04D5E"/>
    <w:rsid w:val="00C05422"/>
    <w:rsid w:val="00C07F24"/>
    <w:rsid w:val="00C15A09"/>
    <w:rsid w:val="00C15BFB"/>
    <w:rsid w:val="00C15EA2"/>
    <w:rsid w:val="00C24AF3"/>
    <w:rsid w:val="00C25C7A"/>
    <w:rsid w:val="00C26AFD"/>
    <w:rsid w:val="00C37240"/>
    <w:rsid w:val="00C375F7"/>
    <w:rsid w:val="00C4090E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06E3A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72358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022B"/>
    <w:rsid w:val="00ED14D8"/>
    <w:rsid w:val="00ED6E5F"/>
    <w:rsid w:val="00EE5762"/>
    <w:rsid w:val="00EF2690"/>
    <w:rsid w:val="00EF537E"/>
    <w:rsid w:val="00EF7F88"/>
    <w:rsid w:val="00F15DF2"/>
    <w:rsid w:val="00F34932"/>
    <w:rsid w:val="00F45A3D"/>
    <w:rsid w:val="00F510DC"/>
    <w:rsid w:val="00F515FB"/>
    <w:rsid w:val="00F5474D"/>
    <w:rsid w:val="00F6067D"/>
    <w:rsid w:val="00F65EAE"/>
    <w:rsid w:val="00F76596"/>
    <w:rsid w:val="00F77648"/>
    <w:rsid w:val="00F83AEB"/>
    <w:rsid w:val="00F85C55"/>
    <w:rsid w:val="00F877D3"/>
    <w:rsid w:val="00F920F1"/>
    <w:rsid w:val="00F965B0"/>
    <w:rsid w:val="00FA0D92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files/forma-pisma-na-iniciirovanie-procedury-avtomatizirovannogo-vnese.doc" TargetMode="External"/><Relationship Id="rId18" Type="http://schemas.openxmlformats.org/officeDocument/2006/relationships/hyperlink" Target="mailto:support_epass@ids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ds.by/gln-1" TargetMode="External"/><Relationship Id="rId17" Type="http://schemas.openxmlformats.org/officeDocument/2006/relationships/hyperlink" Target="https://www.datamark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_epass@ids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tin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hyperlink" Target="mailto:gtin@ids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1by.by/uslugi/" TargetMode="External"/><Relationship Id="rId14" Type="http://schemas.openxmlformats.org/officeDocument/2006/relationships/hyperlink" Target="https://ids.by/info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0009A-AB7E-45BD-B09D-8197E27B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22</cp:revision>
  <cp:lastPrinted>2020-06-03T11:10:00Z</cp:lastPrinted>
  <dcterms:created xsi:type="dcterms:W3CDTF">2025-07-24T07:19:00Z</dcterms:created>
  <dcterms:modified xsi:type="dcterms:W3CDTF">2026-02-17T09:05:00Z</dcterms:modified>
</cp:coreProperties>
</file>